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48" w:rsidRPr="00672926" w:rsidRDefault="00793048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  <w:r w:rsidRPr="00672926">
        <w:rPr>
          <w:rFonts w:ascii="Arial" w:hAnsi="Arial" w:cs="Arial"/>
          <w:b/>
          <w:color w:val="201F1E"/>
        </w:rPr>
        <w:t>Questionamento 14/06/21.</w:t>
      </w:r>
    </w:p>
    <w:p w:rsidR="0035686D" w:rsidRPr="00672926" w:rsidRDefault="003D44CE" w:rsidP="00672926">
      <w:pPr>
        <w:jc w:val="both"/>
        <w:rPr>
          <w:rFonts w:ascii="Arial" w:hAnsi="Arial" w:cs="Arial"/>
          <w:sz w:val="24"/>
          <w:szCs w:val="24"/>
        </w:rPr>
      </w:pPr>
      <w:r w:rsidRPr="00672926">
        <w:rPr>
          <w:rFonts w:ascii="Arial" w:hAnsi="Arial" w:cs="Arial"/>
          <w:sz w:val="24"/>
          <w:szCs w:val="24"/>
        </w:rPr>
        <w:t xml:space="preserve">Esclarecimento 01/2021 - EDITAL DO PROCESSO DE PRÉ-QUALIFICAÇÃO PERMANENTE </w:t>
      </w:r>
      <w:r w:rsidR="00ED5A3B">
        <w:rPr>
          <w:rFonts w:ascii="Arial" w:hAnsi="Arial" w:cs="Arial"/>
          <w:sz w:val="24"/>
          <w:szCs w:val="24"/>
        </w:rPr>
        <w:t>0</w:t>
      </w:r>
      <w:r w:rsidRPr="00672926">
        <w:rPr>
          <w:rFonts w:ascii="Arial" w:hAnsi="Arial" w:cs="Arial"/>
          <w:sz w:val="24"/>
          <w:szCs w:val="24"/>
        </w:rPr>
        <w:t>1/2021</w:t>
      </w:r>
    </w:p>
    <w:p w:rsidR="003D44CE" w:rsidRPr="00672926" w:rsidRDefault="003D44CE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proofErr w:type="gramStart"/>
      <w:r w:rsidRPr="00672926">
        <w:rPr>
          <w:rFonts w:ascii="Arial" w:hAnsi="Arial" w:cs="Arial"/>
        </w:rPr>
        <w:t>1)</w:t>
      </w:r>
      <w:r w:rsidRPr="00672926">
        <w:rPr>
          <w:rFonts w:ascii="Arial" w:hAnsi="Arial" w:cs="Arial"/>
          <w:color w:val="201F1E"/>
        </w:rPr>
        <w:t xml:space="preserve"> Em</w:t>
      </w:r>
      <w:proofErr w:type="gramEnd"/>
      <w:r w:rsidRPr="00672926">
        <w:rPr>
          <w:rFonts w:ascii="Arial" w:hAnsi="Arial" w:cs="Arial"/>
          <w:color w:val="201F1E"/>
        </w:rPr>
        <w:t xml:space="preserve"> relação </w:t>
      </w:r>
      <w:r w:rsidR="00672926" w:rsidRPr="00672926">
        <w:rPr>
          <w:rFonts w:ascii="Arial" w:hAnsi="Arial" w:cs="Arial"/>
          <w:color w:val="201F1E"/>
        </w:rPr>
        <w:t>à</w:t>
      </w:r>
      <w:r w:rsidRPr="00672926">
        <w:rPr>
          <w:rFonts w:ascii="Arial" w:hAnsi="Arial" w:cs="Arial"/>
          <w:color w:val="201F1E"/>
        </w:rPr>
        <w:t xml:space="preserve"> do</w:t>
      </w:r>
      <w:r w:rsidR="00672926" w:rsidRPr="00672926">
        <w:rPr>
          <w:rFonts w:ascii="Arial" w:hAnsi="Arial" w:cs="Arial"/>
          <w:color w:val="201F1E"/>
        </w:rPr>
        <w:t>cumentação que deve ser enviada, g</w:t>
      </w:r>
      <w:r w:rsidRPr="00672926">
        <w:rPr>
          <w:rFonts w:ascii="Arial" w:hAnsi="Arial" w:cs="Arial"/>
          <w:color w:val="201F1E"/>
        </w:rPr>
        <w:t>ostaria de verificar se a</w:t>
      </w:r>
      <w:r w:rsidR="007066F3">
        <w:rPr>
          <w:rFonts w:ascii="Arial" w:hAnsi="Arial" w:cs="Arial"/>
          <w:color w:val="201F1E"/>
        </w:rPr>
        <w:t xml:space="preserve">s assinaturas podem ser digital </w:t>
      </w:r>
      <w:r w:rsidRPr="00672926">
        <w:rPr>
          <w:rFonts w:ascii="Arial" w:hAnsi="Arial" w:cs="Arial"/>
          <w:color w:val="201F1E"/>
        </w:rPr>
        <w:t>no </w:t>
      </w:r>
      <w:r w:rsidRPr="00672926">
        <w:rPr>
          <w:rFonts w:ascii="Arial" w:hAnsi="Arial" w:cs="Arial"/>
          <w:b/>
          <w:bCs/>
          <w:color w:val="201F1E"/>
        </w:rPr>
        <w:t>Pedido de Pré-qualificação Permanente</w:t>
      </w:r>
      <w:r w:rsidRPr="00672926">
        <w:rPr>
          <w:rFonts w:ascii="Arial" w:hAnsi="Arial" w:cs="Arial"/>
          <w:color w:val="201F1E"/>
        </w:rPr>
        <w:t> e </w:t>
      </w:r>
      <w:r w:rsidRPr="00672926">
        <w:rPr>
          <w:rFonts w:ascii="Arial" w:hAnsi="Arial" w:cs="Arial"/>
          <w:b/>
          <w:bCs/>
          <w:color w:val="201F1E"/>
        </w:rPr>
        <w:t>Formulário de Contatos.</w:t>
      </w:r>
    </w:p>
    <w:p w:rsidR="003D44CE" w:rsidRPr="00672926" w:rsidRDefault="003D44CE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2E6680" w:rsidRDefault="002E6680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t xml:space="preserve">R: Quanto </w:t>
      </w:r>
      <w:r w:rsidR="006D45DD" w:rsidRPr="00672926">
        <w:rPr>
          <w:rFonts w:ascii="Arial" w:hAnsi="Arial" w:cs="Arial"/>
          <w:color w:val="201F1E"/>
        </w:rPr>
        <w:t>à</w:t>
      </w:r>
      <w:r w:rsidRPr="00672926">
        <w:rPr>
          <w:rFonts w:ascii="Arial" w:hAnsi="Arial" w:cs="Arial"/>
          <w:color w:val="201F1E"/>
        </w:rPr>
        <w:t xml:space="preserve"> assinatura eletrônica </w:t>
      </w:r>
      <w:r w:rsidR="00145063">
        <w:rPr>
          <w:rFonts w:ascii="Arial" w:hAnsi="Arial" w:cs="Arial"/>
          <w:color w:val="201F1E"/>
        </w:rPr>
        <w:t xml:space="preserve">i) </w:t>
      </w:r>
      <w:r w:rsidRPr="00672926">
        <w:rPr>
          <w:rFonts w:ascii="Arial" w:hAnsi="Arial" w:cs="Arial"/>
          <w:color w:val="201F1E"/>
        </w:rPr>
        <w:t>poderão encaminhar as p</w:t>
      </w:r>
      <w:r w:rsidR="00302F63">
        <w:rPr>
          <w:rFonts w:ascii="Arial" w:hAnsi="Arial" w:cs="Arial"/>
          <w:color w:val="201F1E"/>
        </w:rPr>
        <w:t xml:space="preserve">ropostas assinadas digitalmente, </w:t>
      </w:r>
      <w:r w:rsidRPr="00672926">
        <w:rPr>
          <w:rFonts w:ascii="Arial" w:hAnsi="Arial" w:cs="Arial"/>
          <w:color w:val="201F1E"/>
        </w:rPr>
        <w:t>por meio da criptografia de chaves públicas, ICP-Brasil, conforme normatizado pela Medida Provisória 2.200-2/2001, art. 10, §§ 1º e 2º</w:t>
      </w:r>
      <w:r w:rsidR="00145063">
        <w:rPr>
          <w:rFonts w:ascii="Arial" w:hAnsi="Arial" w:cs="Arial"/>
          <w:color w:val="201F1E"/>
        </w:rPr>
        <w:t>; e,</w:t>
      </w:r>
    </w:p>
    <w:p w:rsidR="00145063" w:rsidRDefault="00145063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DF1C4B" w:rsidRDefault="00145063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145063">
        <w:rPr>
          <w:rFonts w:ascii="Arial" w:hAnsi="Arial" w:cs="Arial"/>
          <w:color w:val="201F1E"/>
        </w:rPr>
        <w:t>ii</w:t>
      </w:r>
      <w:proofErr w:type="spellEnd"/>
      <w:r w:rsidRPr="00145063">
        <w:rPr>
          <w:rFonts w:ascii="Arial" w:hAnsi="Arial" w:cs="Arial"/>
          <w:color w:val="201F1E"/>
        </w:rPr>
        <w:t>)</w:t>
      </w:r>
      <w:r w:rsidRPr="00145063">
        <w:rPr>
          <w:rFonts w:ascii="Arial" w:hAnsi="Arial" w:cs="Arial"/>
          <w:color w:val="201F1E"/>
        </w:rPr>
        <w:t xml:space="preserve"> que a verificação possa ser feita </w:t>
      </w:r>
      <w:r w:rsidRPr="00145063">
        <w:rPr>
          <w:rFonts w:ascii="Arial" w:hAnsi="Arial" w:cs="Arial"/>
          <w:color w:val="000000"/>
          <w:shd w:val="clear" w:color="auto" w:fill="FFFFFF"/>
        </w:rPr>
        <w:t xml:space="preserve">no </w:t>
      </w:r>
      <w:r w:rsidR="00892054">
        <w:rPr>
          <w:rFonts w:ascii="Arial" w:hAnsi="Arial" w:cs="Arial"/>
          <w:color w:val="000000"/>
          <w:shd w:val="clear" w:color="auto" w:fill="FFFFFF"/>
        </w:rPr>
        <w:t>“</w:t>
      </w:r>
      <w:r w:rsidR="00892054" w:rsidRPr="00892054">
        <w:rPr>
          <w:rFonts w:ascii="Arial" w:hAnsi="Arial" w:cs="Arial"/>
        </w:rPr>
        <w:t>Serviço de validação de assinaturas eletrônicas</w:t>
      </w:r>
      <w:r w:rsidR="00892054">
        <w:rPr>
          <w:rFonts w:ascii="Arial" w:hAnsi="Arial" w:cs="Arial"/>
        </w:rPr>
        <w:t>”,</w:t>
      </w:r>
      <w:r w:rsidR="00892054" w:rsidRPr="00892054">
        <w:rPr>
          <w:rFonts w:ascii="Arial" w:hAnsi="Arial" w:cs="Arial"/>
        </w:rPr>
        <w:t xml:space="preserve"> </w:t>
      </w:r>
      <w:r w:rsidR="00DF1C4B">
        <w:rPr>
          <w:rFonts w:ascii="Arial" w:hAnsi="Arial" w:cs="Arial"/>
          <w:color w:val="000000"/>
          <w:shd w:val="clear" w:color="auto" w:fill="FFFFFF"/>
        </w:rPr>
        <w:t>s</w:t>
      </w:r>
      <w:r w:rsidRPr="00145063">
        <w:rPr>
          <w:rFonts w:ascii="Arial" w:hAnsi="Arial" w:cs="Arial"/>
          <w:color w:val="000000"/>
          <w:shd w:val="clear" w:color="auto" w:fill="FFFFFF"/>
        </w:rPr>
        <w:t>ite </w:t>
      </w:r>
      <w:r w:rsidR="00DF1C4B">
        <w:rPr>
          <w:rFonts w:ascii="Arial" w:hAnsi="Arial" w:cs="Arial"/>
          <w:color w:val="000000"/>
          <w:shd w:val="clear" w:color="auto" w:fill="FFFFFF"/>
        </w:rPr>
        <w:fldChar w:fldCharType="begin"/>
      </w:r>
      <w:r w:rsidR="00DF1C4B">
        <w:rPr>
          <w:rFonts w:ascii="Arial" w:hAnsi="Arial" w:cs="Arial"/>
          <w:color w:val="000000"/>
          <w:shd w:val="clear" w:color="auto" w:fill="FFFFFF"/>
        </w:rPr>
        <w:instrText xml:space="preserve"> HYPERLINK "</w:instrText>
      </w:r>
      <w:r w:rsidR="00DF1C4B" w:rsidRPr="00DF1C4B">
        <w:rPr>
          <w:rFonts w:ascii="Arial" w:hAnsi="Arial" w:cs="Arial"/>
          <w:color w:val="000000"/>
          <w:shd w:val="clear" w:color="auto" w:fill="FFFFFF"/>
        </w:rPr>
        <w:instrText>https://validar.iti.gov.br/</w:instrText>
      </w:r>
      <w:r w:rsidR="00DF1C4B">
        <w:rPr>
          <w:rFonts w:ascii="Arial" w:hAnsi="Arial" w:cs="Arial"/>
          <w:color w:val="000000"/>
          <w:shd w:val="clear" w:color="auto" w:fill="FFFFFF"/>
        </w:rPr>
        <w:instrText xml:space="preserve">" </w:instrText>
      </w:r>
      <w:r w:rsidR="00DF1C4B">
        <w:rPr>
          <w:rFonts w:ascii="Arial" w:hAnsi="Arial" w:cs="Arial"/>
          <w:color w:val="000000"/>
          <w:shd w:val="clear" w:color="auto" w:fill="FFFFFF"/>
        </w:rPr>
        <w:fldChar w:fldCharType="separate"/>
      </w:r>
      <w:r w:rsidR="00DF1C4B" w:rsidRPr="00620516">
        <w:rPr>
          <w:rStyle w:val="Hyperlink"/>
          <w:rFonts w:ascii="Arial" w:hAnsi="Arial" w:cs="Arial"/>
          <w:shd w:val="clear" w:color="auto" w:fill="FFFFFF"/>
        </w:rPr>
        <w:t>https://validar.iti.gov.br/</w:t>
      </w:r>
      <w:r w:rsidR="00DF1C4B">
        <w:rPr>
          <w:rFonts w:ascii="Arial" w:hAnsi="Arial" w:cs="Arial"/>
          <w:color w:val="000000"/>
          <w:shd w:val="clear" w:color="auto" w:fill="FFFFFF"/>
        </w:rPr>
        <w:fldChar w:fldCharType="end"/>
      </w:r>
      <w:r w:rsidR="00892054"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p w:rsidR="003D44CE" w:rsidRPr="00672926" w:rsidRDefault="00DF1C4B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t xml:space="preserve"> </w:t>
      </w:r>
    </w:p>
    <w:p w:rsidR="003D44CE" w:rsidRPr="00672926" w:rsidRDefault="003D44CE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proofErr w:type="gramStart"/>
      <w:r w:rsidRPr="00672926">
        <w:rPr>
          <w:rFonts w:ascii="Arial" w:hAnsi="Arial" w:cs="Arial"/>
          <w:color w:val="201F1E"/>
        </w:rPr>
        <w:t>2)</w:t>
      </w:r>
      <w:r w:rsidR="00672926" w:rsidRPr="00672926">
        <w:rPr>
          <w:rFonts w:ascii="Arial" w:hAnsi="Arial" w:cs="Arial"/>
          <w:color w:val="201F1E"/>
        </w:rPr>
        <w:t xml:space="preserve"> </w:t>
      </w:r>
      <w:r w:rsidRPr="00672926">
        <w:rPr>
          <w:rFonts w:ascii="Arial" w:hAnsi="Arial" w:cs="Arial"/>
          <w:color w:val="201F1E"/>
        </w:rPr>
        <w:t>Os</w:t>
      </w:r>
      <w:proofErr w:type="gramEnd"/>
      <w:r w:rsidRPr="00672926">
        <w:rPr>
          <w:rFonts w:ascii="Arial" w:hAnsi="Arial" w:cs="Arial"/>
          <w:color w:val="201F1E"/>
        </w:rPr>
        <w:t xml:space="preserve"> documentos podem ser enviados por e-mail?</w:t>
      </w:r>
    </w:p>
    <w:p w:rsidR="003D44CE" w:rsidRPr="00672926" w:rsidRDefault="003D44CE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2E6680" w:rsidRPr="00672926" w:rsidRDefault="002E6680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t>R: A documentação tem que ser enviada fisicamente à COPASA</w:t>
      </w:r>
      <w:r w:rsidR="00672926" w:rsidRPr="00672926">
        <w:rPr>
          <w:rFonts w:ascii="Arial" w:hAnsi="Arial" w:cs="Arial"/>
          <w:color w:val="201F1E"/>
        </w:rPr>
        <w:t>,</w:t>
      </w:r>
      <w:r w:rsidRPr="00672926">
        <w:rPr>
          <w:rFonts w:ascii="Arial" w:hAnsi="Arial" w:cs="Arial"/>
          <w:color w:val="201F1E"/>
        </w:rPr>
        <w:t xml:space="preserve"> conforme CAPITULO SEXTO DO PEDIDO DE PRE-QUALIFICAÇÃO do EDITAL DO PROCESSO DE PRÉ-QUALIFICAÇÃO PERMANENTE </w:t>
      </w:r>
      <w:r w:rsidR="00145063">
        <w:rPr>
          <w:rFonts w:ascii="Arial" w:hAnsi="Arial" w:cs="Arial"/>
          <w:color w:val="201F1E"/>
        </w:rPr>
        <w:t>0</w:t>
      </w:r>
      <w:r w:rsidRPr="00672926">
        <w:rPr>
          <w:rFonts w:ascii="Arial" w:hAnsi="Arial" w:cs="Arial"/>
          <w:color w:val="201F1E"/>
        </w:rPr>
        <w:t>1/2021. </w:t>
      </w:r>
    </w:p>
    <w:p w:rsidR="003D44CE" w:rsidRPr="00672926" w:rsidRDefault="003D44CE">
      <w:pPr>
        <w:rPr>
          <w:rFonts w:ascii="Arial" w:hAnsi="Arial" w:cs="Arial"/>
          <w:sz w:val="24"/>
          <w:szCs w:val="24"/>
        </w:rPr>
      </w:pPr>
    </w:p>
    <w:p w:rsidR="00793048" w:rsidRPr="00672926" w:rsidRDefault="00793048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  <w:r w:rsidRPr="00672926">
        <w:rPr>
          <w:rFonts w:ascii="Arial" w:hAnsi="Arial" w:cs="Arial"/>
          <w:b/>
          <w:color w:val="201F1E"/>
        </w:rPr>
        <w:t>Questionamento 24/06/21.</w:t>
      </w:r>
    </w:p>
    <w:p w:rsidR="00BF6902" w:rsidRPr="00672926" w:rsidRDefault="00BF6902" w:rsidP="00672926">
      <w:pPr>
        <w:jc w:val="both"/>
        <w:rPr>
          <w:rFonts w:ascii="Arial" w:hAnsi="Arial" w:cs="Arial"/>
          <w:sz w:val="24"/>
          <w:szCs w:val="24"/>
        </w:rPr>
      </w:pPr>
      <w:r w:rsidRPr="00672926">
        <w:rPr>
          <w:rFonts w:ascii="Arial" w:hAnsi="Arial" w:cs="Arial"/>
          <w:sz w:val="24"/>
          <w:szCs w:val="24"/>
        </w:rPr>
        <w:t xml:space="preserve">Esclarecimento 02/2021 - EDITAL DO PROCESSO DE PRÉ-QUALIFICAÇÃO PERMANENTE </w:t>
      </w:r>
      <w:r w:rsidR="00145063">
        <w:rPr>
          <w:rFonts w:ascii="Arial" w:hAnsi="Arial" w:cs="Arial"/>
          <w:sz w:val="24"/>
          <w:szCs w:val="24"/>
        </w:rPr>
        <w:t>0</w:t>
      </w:r>
      <w:r w:rsidRPr="00672926">
        <w:rPr>
          <w:rFonts w:ascii="Arial" w:hAnsi="Arial" w:cs="Arial"/>
          <w:sz w:val="24"/>
          <w:szCs w:val="24"/>
        </w:rPr>
        <w:t>1/2021</w:t>
      </w:r>
    </w:p>
    <w:p w:rsidR="00BF6902" w:rsidRPr="00672926" w:rsidRDefault="00984D50" w:rsidP="006729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67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BF6902" w:rsidRPr="0067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</w:t>
      </w:r>
      <w:r w:rsidR="001450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="00BF6902" w:rsidRPr="0067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osso</w:t>
      </w:r>
      <w:proofErr w:type="gramEnd"/>
      <w:r w:rsidR="00BF6902" w:rsidRPr="0067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jurídico preparou uma redação em relação à certidão fiscal da Secretaria da F</w:t>
      </w:r>
      <w:r w:rsidR="00BF6902" w:rsidRPr="0067292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azenda de Minas Gerais, conforme abaixo.</w:t>
      </w:r>
    </w:p>
    <w:p w:rsidR="00BF6902" w:rsidRPr="00672926" w:rsidRDefault="00BF6902" w:rsidP="0067292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F6902" w:rsidRPr="00672926" w:rsidRDefault="00BF6902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t>"A celeuma que rodeia a emissão de certidão de regularidade fiscal junto ao Estado de Minas Gerais se dá na imposição equivocada dos débitos de natureza tributária e não tributária, oriundos da celebração dos contratos de Alienação Fiduciária e Arrendamento Mercantil, formalizados com a Instituição. Isto porque, tais débitos são de integral responsabilidade dos clientes e real detentores da posse dos bens objetos dos sobreditos contratos de financiamentos.</w:t>
      </w:r>
    </w:p>
    <w:p w:rsidR="00BF6902" w:rsidRPr="00672926" w:rsidRDefault="00BF6902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br/>
        <w:t>Avalie a possibilidade da apresentação da declaração de nossa ilegitimidade para regularização dos débitos e consequente renovação de nossas atividades negociais."</w:t>
      </w:r>
    </w:p>
    <w:p w:rsidR="00BF6902" w:rsidRPr="00672926" w:rsidRDefault="00BF6902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762229" w:rsidRPr="00672926" w:rsidRDefault="0076222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t>R: A exigência de regularidade fiscal nos processos licitatórios da Companhia são condicionantes dispostas nos art. 13 do Regulamento de Contratações, o qual está em conformidade com a Lei 13.303/16 aplicável à COPASA.</w:t>
      </w:r>
    </w:p>
    <w:p w:rsidR="00762229" w:rsidRPr="00672926" w:rsidRDefault="0076222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762229" w:rsidRPr="00672926" w:rsidRDefault="0076222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t xml:space="preserve">Quanto aos argumentos do Banco, </w:t>
      </w:r>
      <w:r w:rsidR="00ED5A3B" w:rsidRPr="00672926">
        <w:rPr>
          <w:rFonts w:ascii="Arial" w:hAnsi="Arial" w:cs="Arial"/>
          <w:color w:val="201F1E"/>
        </w:rPr>
        <w:t>havendo imposição</w:t>
      </w:r>
      <w:r w:rsidRPr="00672926">
        <w:rPr>
          <w:rFonts w:ascii="Arial" w:hAnsi="Arial" w:cs="Arial"/>
          <w:color w:val="201F1E"/>
        </w:rPr>
        <w:t xml:space="preserve"> equivocada dos débitos, independente da natureza, cabe às empresas entrarem com processo administrativo pleiteando a revisão e suspensão. Neste caso, a Fazenda emite CND positiva com efeito negativa</w:t>
      </w:r>
      <w:r w:rsidR="00ED5A3B">
        <w:rPr>
          <w:rFonts w:ascii="Arial" w:hAnsi="Arial" w:cs="Arial"/>
          <w:color w:val="201F1E"/>
        </w:rPr>
        <w:t>,</w:t>
      </w:r>
      <w:r w:rsidRPr="00672926">
        <w:rPr>
          <w:rFonts w:ascii="Arial" w:hAnsi="Arial" w:cs="Arial"/>
          <w:color w:val="201F1E"/>
        </w:rPr>
        <w:t> enquanto se discute o mérito da questão. </w:t>
      </w:r>
    </w:p>
    <w:p w:rsidR="00762229" w:rsidRPr="00672926" w:rsidRDefault="0076222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762229" w:rsidRPr="00672926" w:rsidRDefault="0076222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lastRenderedPageBreak/>
        <w:t xml:space="preserve">Não existe a </w:t>
      </w:r>
      <w:r w:rsidR="007C4EB6" w:rsidRPr="00672926">
        <w:rPr>
          <w:rFonts w:ascii="Arial" w:hAnsi="Arial" w:cs="Arial"/>
          <w:color w:val="201F1E"/>
        </w:rPr>
        <w:t>possibilidade</w:t>
      </w:r>
      <w:r w:rsidRPr="00672926">
        <w:rPr>
          <w:rFonts w:ascii="Arial" w:hAnsi="Arial" w:cs="Arial"/>
          <w:color w:val="201F1E"/>
        </w:rPr>
        <w:t xml:space="preserve"> de atender o pleito do Banco, pois essa exigência é de obrigação da COPASA. Não podemos contratar empresas com irregularidade fiscal. </w:t>
      </w:r>
    </w:p>
    <w:p w:rsidR="00762229" w:rsidRPr="00672926" w:rsidRDefault="0076222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762229" w:rsidRPr="00672926" w:rsidRDefault="0076222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t>Sugiro o Banco entrar com pedido de liminar na justiça para liberação da CND</w:t>
      </w:r>
      <w:r w:rsidR="00ED5A3B">
        <w:rPr>
          <w:rFonts w:ascii="Arial" w:hAnsi="Arial" w:cs="Arial"/>
          <w:color w:val="201F1E"/>
        </w:rPr>
        <w:t>,</w:t>
      </w:r>
      <w:r w:rsidRPr="00672926">
        <w:rPr>
          <w:rFonts w:ascii="Arial" w:hAnsi="Arial" w:cs="Arial"/>
          <w:color w:val="201F1E"/>
        </w:rPr>
        <w:t xml:space="preserve"> enquanto aguarda a discussão do débito em questão</w:t>
      </w:r>
    </w:p>
    <w:p w:rsidR="009137DD" w:rsidRPr="00672926" w:rsidRDefault="009137DD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794289" w:rsidRPr="00672926" w:rsidRDefault="0079428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975C47" w:rsidRPr="00672926" w:rsidRDefault="00975C47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975C47" w:rsidRPr="00672926" w:rsidRDefault="00975C47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  <w:r w:rsidRPr="00672926">
        <w:rPr>
          <w:rFonts w:ascii="Arial" w:hAnsi="Arial" w:cs="Arial"/>
          <w:b/>
          <w:color w:val="201F1E"/>
        </w:rPr>
        <w:t>Questionamento 05/07/21.</w:t>
      </w:r>
    </w:p>
    <w:p w:rsidR="00975C47" w:rsidRPr="00672926" w:rsidRDefault="00975C47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9137DD" w:rsidRPr="00672926" w:rsidRDefault="00984D50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proofErr w:type="gramStart"/>
      <w:r w:rsidRPr="00672926">
        <w:rPr>
          <w:rFonts w:ascii="Arial" w:hAnsi="Arial" w:cs="Arial"/>
          <w:color w:val="201F1E"/>
        </w:rPr>
        <w:t>1</w:t>
      </w:r>
      <w:r w:rsidR="009137DD" w:rsidRPr="00672926">
        <w:rPr>
          <w:rFonts w:ascii="Arial" w:hAnsi="Arial" w:cs="Arial"/>
          <w:color w:val="201F1E"/>
        </w:rPr>
        <w:t>) O</w:t>
      </w:r>
      <w:r w:rsidR="00335647" w:rsidRPr="00672926">
        <w:rPr>
          <w:rFonts w:ascii="Arial" w:hAnsi="Arial" w:cs="Arial"/>
          <w:color w:val="201F1E"/>
        </w:rPr>
        <w:t>s</w:t>
      </w:r>
      <w:proofErr w:type="gramEnd"/>
      <w:r w:rsidR="009137DD" w:rsidRPr="00672926">
        <w:rPr>
          <w:rFonts w:ascii="Arial" w:hAnsi="Arial" w:cs="Arial"/>
          <w:color w:val="201F1E"/>
        </w:rPr>
        <w:t xml:space="preserve"> atestado</w:t>
      </w:r>
      <w:r w:rsidR="00335647" w:rsidRPr="00672926">
        <w:rPr>
          <w:rFonts w:ascii="Arial" w:hAnsi="Arial" w:cs="Arial"/>
          <w:color w:val="201F1E"/>
        </w:rPr>
        <w:t>s</w:t>
      </w:r>
      <w:r w:rsidR="009137DD" w:rsidRPr="00672926">
        <w:rPr>
          <w:rFonts w:ascii="Arial" w:hAnsi="Arial" w:cs="Arial"/>
          <w:color w:val="201F1E"/>
        </w:rPr>
        <w:t xml:space="preserve"> técnico</w:t>
      </w:r>
      <w:r w:rsidR="00335647" w:rsidRPr="00672926">
        <w:rPr>
          <w:rFonts w:ascii="Arial" w:hAnsi="Arial" w:cs="Arial"/>
          <w:color w:val="201F1E"/>
        </w:rPr>
        <w:t>s</w:t>
      </w:r>
      <w:r w:rsidR="009137DD" w:rsidRPr="00672926">
        <w:rPr>
          <w:rFonts w:ascii="Arial" w:hAnsi="Arial" w:cs="Arial"/>
          <w:color w:val="201F1E"/>
        </w:rPr>
        <w:t xml:space="preserve"> previsto</w:t>
      </w:r>
      <w:r w:rsidR="00335647" w:rsidRPr="00672926">
        <w:rPr>
          <w:rFonts w:ascii="Arial" w:hAnsi="Arial" w:cs="Arial"/>
          <w:color w:val="201F1E"/>
        </w:rPr>
        <w:t>s</w:t>
      </w:r>
      <w:r w:rsidR="009137DD" w:rsidRPr="00672926">
        <w:rPr>
          <w:rFonts w:ascii="Arial" w:hAnsi="Arial" w:cs="Arial"/>
          <w:color w:val="201F1E"/>
        </w:rPr>
        <w:t xml:space="preserve"> no</w:t>
      </w:r>
      <w:r w:rsidR="00335647" w:rsidRPr="00672926">
        <w:rPr>
          <w:rFonts w:ascii="Arial" w:hAnsi="Arial" w:cs="Arial"/>
          <w:color w:val="201F1E"/>
        </w:rPr>
        <w:t>s</w:t>
      </w:r>
      <w:r w:rsidR="009137DD" w:rsidRPr="00672926">
        <w:rPr>
          <w:rFonts w:ascii="Arial" w:hAnsi="Arial" w:cs="Arial"/>
          <w:color w:val="201F1E"/>
        </w:rPr>
        <w:t xml:space="preserve"> ite</w:t>
      </w:r>
      <w:r w:rsidR="00335647" w:rsidRPr="00672926">
        <w:rPr>
          <w:rFonts w:ascii="Arial" w:hAnsi="Arial" w:cs="Arial"/>
          <w:color w:val="201F1E"/>
        </w:rPr>
        <w:t>ns</w:t>
      </w:r>
      <w:r w:rsidR="009137DD" w:rsidRPr="00672926">
        <w:rPr>
          <w:rFonts w:ascii="Arial" w:hAnsi="Arial" w:cs="Arial"/>
          <w:color w:val="201F1E"/>
        </w:rPr>
        <w:t xml:space="preserve"> </w:t>
      </w:r>
      <w:r w:rsidR="00FC41ED" w:rsidRPr="00672926">
        <w:rPr>
          <w:rFonts w:ascii="Arial" w:hAnsi="Arial" w:cs="Arial"/>
        </w:rPr>
        <w:t xml:space="preserve">4.4.3.1   e </w:t>
      </w:r>
      <w:r w:rsidR="009137DD" w:rsidRPr="00672926">
        <w:rPr>
          <w:rFonts w:ascii="Arial" w:hAnsi="Arial" w:cs="Arial"/>
          <w:color w:val="201F1E"/>
        </w:rPr>
        <w:t xml:space="preserve">4.4.3.2 do termo de referência </w:t>
      </w:r>
      <w:r w:rsidR="00794289" w:rsidRPr="00672926">
        <w:rPr>
          <w:rFonts w:ascii="Arial" w:hAnsi="Arial" w:cs="Arial"/>
          <w:color w:val="201F1E"/>
        </w:rPr>
        <w:t>deve</w:t>
      </w:r>
      <w:r w:rsidR="00862A21" w:rsidRPr="00672926">
        <w:rPr>
          <w:rFonts w:ascii="Arial" w:hAnsi="Arial" w:cs="Arial"/>
          <w:color w:val="201F1E"/>
        </w:rPr>
        <w:t>m</w:t>
      </w:r>
      <w:r w:rsidR="00794289" w:rsidRPr="00672926">
        <w:rPr>
          <w:rFonts w:ascii="Arial" w:hAnsi="Arial" w:cs="Arial"/>
          <w:color w:val="201F1E"/>
        </w:rPr>
        <w:t xml:space="preserve"> ser no</w:t>
      </w:r>
      <w:r w:rsidR="00862A21" w:rsidRPr="00672926">
        <w:rPr>
          <w:rFonts w:ascii="Arial" w:hAnsi="Arial" w:cs="Arial"/>
          <w:color w:val="201F1E"/>
        </w:rPr>
        <w:t>s</w:t>
      </w:r>
      <w:r w:rsidR="00794289" w:rsidRPr="00672926">
        <w:rPr>
          <w:rFonts w:ascii="Arial" w:hAnsi="Arial" w:cs="Arial"/>
          <w:color w:val="201F1E"/>
        </w:rPr>
        <w:t xml:space="preserve"> montante</w:t>
      </w:r>
      <w:r w:rsidR="00862A21" w:rsidRPr="00672926">
        <w:rPr>
          <w:rFonts w:ascii="Arial" w:hAnsi="Arial" w:cs="Arial"/>
          <w:color w:val="201F1E"/>
        </w:rPr>
        <w:t>s</w:t>
      </w:r>
      <w:r w:rsidR="00794289" w:rsidRPr="00672926">
        <w:rPr>
          <w:rFonts w:ascii="Arial" w:hAnsi="Arial" w:cs="Arial"/>
          <w:color w:val="201F1E"/>
        </w:rPr>
        <w:t xml:space="preserve"> de R$ </w:t>
      </w:r>
      <w:r w:rsidR="00FC41ED" w:rsidRPr="00672926">
        <w:rPr>
          <w:rFonts w:ascii="Arial" w:hAnsi="Arial" w:cs="Arial"/>
          <w:color w:val="201F1E"/>
        </w:rPr>
        <w:t>100 milhões de reais ou 2</w:t>
      </w:r>
      <w:r w:rsidR="00794289" w:rsidRPr="00672926">
        <w:rPr>
          <w:rFonts w:ascii="Arial" w:hAnsi="Arial" w:cs="Arial"/>
          <w:color w:val="201F1E"/>
        </w:rPr>
        <w:t>00 milhões de reais</w:t>
      </w:r>
      <w:r w:rsidR="00672926">
        <w:rPr>
          <w:rFonts w:ascii="Arial" w:hAnsi="Arial" w:cs="Arial"/>
          <w:color w:val="201F1E"/>
        </w:rPr>
        <w:t>,</w:t>
      </w:r>
      <w:r w:rsidR="00FC41ED" w:rsidRPr="00672926">
        <w:rPr>
          <w:rFonts w:ascii="Arial" w:hAnsi="Arial" w:cs="Arial"/>
          <w:color w:val="201F1E"/>
        </w:rPr>
        <w:t xml:space="preserve"> conforme o numeral ou os valores por</w:t>
      </w:r>
      <w:r w:rsidR="00862A21" w:rsidRPr="00672926">
        <w:rPr>
          <w:rFonts w:ascii="Arial" w:hAnsi="Arial" w:cs="Arial"/>
          <w:color w:val="201F1E"/>
        </w:rPr>
        <w:t xml:space="preserve"> escritos</w:t>
      </w:r>
      <w:r w:rsidR="00FC41ED" w:rsidRPr="00672926">
        <w:rPr>
          <w:rFonts w:ascii="Arial" w:hAnsi="Arial" w:cs="Arial"/>
          <w:color w:val="201F1E"/>
        </w:rPr>
        <w:t xml:space="preserve"> extenso</w:t>
      </w:r>
      <w:r w:rsidR="00794289" w:rsidRPr="00672926">
        <w:rPr>
          <w:rFonts w:ascii="Arial" w:hAnsi="Arial" w:cs="Arial"/>
          <w:color w:val="201F1E"/>
        </w:rPr>
        <w:t>?</w:t>
      </w:r>
    </w:p>
    <w:p w:rsidR="00794289" w:rsidRPr="00672926" w:rsidRDefault="0079428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FC41ED" w:rsidRPr="00672926" w:rsidRDefault="00862A21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 w:rsidRPr="00672926">
        <w:rPr>
          <w:rFonts w:ascii="Arial" w:hAnsi="Arial" w:cs="Arial"/>
          <w:color w:val="201F1E"/>
        </w:rPr>
        <w:t>R:</w:t>
      </w:r>
      <w:r w:rsidR="00FC41ED" w:rsidRPr="00672926">
        <w:rPr>
          <w:rFonts w:ascii="Arial" w:hAnsi="Arial" w:cs="Arial"/>
          <w:color w:val="201F1E"/>
        </w:rPr>
        <w:t xml:space="preserve"> Prevalecem os numerais</w:t>
      </w:r>
      <w:r w:rsidR="005A7251" w:rsidRPr="00672926">
        <w:rPr>
          <w:rFonts w:ascii="Arial" w:hAnsi="Arial" w:cs="Arial"/>
          <w:color w:val="201F1E"/>
        </w:rPr>
        <w:t xml:space="preserve"> e </w:t>
      </w:r>
      <w:r w:rsidR="002F2B3F" w:rsidRPr="00672926">
        <w:rPr>
          <w:rFonts w:ascii="Arial" w:hAnsi="Arial" w:cs="Arial"/>
          <w:color w:val="201F1E"/>
        </w:rPr>
        <w:t>desconsideram-se</w:t>
      </w:r>
      <w:r w:rsidR="005A7251" w:rsidRPr="00672926">
        <w:rPr>
          <w:rFonts w:ascii="Arial" w:hAnsi="Arial" w:cs="Arial"/>
          <w:color w:val="201F1E"/>
        </w:rPr>
        <w:t xml:space="preserve"> os valores por extenso</w:t>
      </w:r>
      <w:r w:rsidR="00D65B11" w:rsidRPr="00672926">
        <w:rPr>
          <w:rFonts w:ascii="Arial" w:hAnsi="Arial" w:cs="Arial"/>
          <w:color w:val="201F1E"/>
        </w:rPr>
        <w:t>.</w:t>
      </w:r>
    </w:p>
    <w:p w:rsidR="00E53409" w:rsidRPr="00672926" w:rsidRDefault="00E5340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FC41ED" w:rsidRPr="00672926" w:rsidRDefault="00FC41ED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:rsidR="00E53409" w:rsidRPr="00672926" w:rsidRDefault="00DB7C65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72926">
        <w:rPr>
          <w:rFonts w:ascii="Arial" w:hAnsi="Arial" w:cs="Arial"/>
        </w:rPr>
        <w:t xml:space="preserve">4.4.3.1 </w:t>
      </w:r>
      <w:proofErr w:type="gramStart"/>
      <w:r w:rsidR="00794289" w:rsidRPr="00672926">
        <w:rPr>
          <w:rFonts w:ascii="Arial" w:hAnsi="Arial" w:cs="Arial"/>
        </w:rPr>
        <w:t>atestado(</w:t>
      </w:r>
      <w:proofErr w:type="gramEnd"/>
      <w:r w:rsidR="00794289" w:rsidRPr="00672926">
        <w:rPr>
          <w:rFonts w:ascii="Arial" w:hAnsi="Arial" w:cs="Arial"/>
        </w:rPr>
        <w:t>s) de capacidade técnico operacional, emitido(s) por pessoa(s) jurídica(s) de direito público ou privado</w:t>
      </w:r>
      <w:r w:rsidR="00672926">
        <w:rPr>
          <w:rFonts w:ascii="Arial" w:hAnsi="Arial" w:cs="Arial"/>
        </w:rPr>
        <w:t>,</w:t>
      </w:r>
      <w:r w:rsidR="00794289" w:rsidRPr="00672926">
        <w:rPr>
          <w:rFonts w:ascii="Arial" w:hAnsi="Arial" w:cs="Arial"/>
        </w:rPr>
        <w:t xml:space="preserve"> que comprove(m) que o</w:t>
      </w:r>
      <w:r w:rsidR="00672926">
        <w:rPr>
          <w:rFonts w:ascii="Arial" w:hAnsi="Arial" w:cs="Arial"/>
        </w:rPr>
        <w:t>(s)</w:t>
      </w:r>
      <w:r w:rsidR="00794289" w:rsidRPr="00672926">
        <w:rPr>
          <w:rFonts w:ascii="Arial" w:hAnsi="Arial" w:cs="Arial"/>
        </w:rPr>
        <w:t xml:space="preserve"> interessado(s) participou</w:t>
      </w:r>
      <w:r w:rsidR="00672926">
        <w:rPr>
          <w:rFonts w:ascii="Arial" w:hAnsi="Arial" w:cs="Arial"/>
        </w:rPr>
        <w:t>(</w:t>
      </w:r>
      <w:proofErr w:type="spellStart"/>
      <w:r w:rsidR="00672926">
        <w:rPr>
          <w:rFonts w:ascii="Arial" w:hAnsi="Arial" w:cs="Arial"/>
        </w:rPr>
        <w:t>ram</w:t>
      </w:r>
      <w:proofErr w:type="spellEnd"/>
      <w:r w:rsidR="00672926">
        <w:rPr>
          <w:rFonts w:ascii="Arial" w:hAnsi="Arial" w:cs="Arial"/>
        </w:rPr>
        <w:t>)</w:t>
      </w:r>
      <w:r w:rsidR="00794289" w:rsidRPr="00672926">
        <w:rPr>
          <w:rFonts w:ascii="Arial" w:hAnsi="Arial" w:cs="Arial"/>
        </w:rPr>
        <w:t xml:space="preserve"> na condição de coordenador líder de oferta de valores mobiliários, no mercado de capitais, no montante mínimo anual, de R$ 100.000.000,00 (</w:t>
      </w:r>
      <w:r w:rsidR="00794289" w:rsidRPr="00672926">
        <w:rPr>
          <w:rFonts w:ascii="Arial" w:hAnsi="Arial" w:cs="Arial"/>
          <w:strike/>
          <w:color w:val="FF0000"/>
        </w:rPr>
        <w:t>duzentos milhões de reais</w:t>
      </w:r>
      <w:r w:rsidR="00794289" w:rsidRPr="00672926">
        <w:rPr>
          <w:rFonts w:ascii="Arial" w:hAnsi="Arial" w:cs="Arial"/>
        </w:rPr>
        <w:t>)</w:t>
      </w:r>
      <w:r w:rsidR="00643264" w:rsidRPr="00672926">
        <w:rPr>
          <w:rFonts w:ascii="Arial" w:hAnsi="Arial" w:cs="Arial"/>
        </w:rPr>
        <w:t xml:space="preserve"> (</w:t>
      </w:r>
      <w:r w:rsidR="00623D07" w:rsidRPr="00672926">
        <w:rPr>
          <w:rFonts w:ascii="Arial" w:hAnsi="Arial" w:cs="Arial"/>
        </w:rPr>
        <w:t>cem</w:t>
      </w:r>
      <w:r w:rsidR="00643264" w:rsidRPr="00672926">
        <w:rPr>
          <w:rFonts w:ascii="Arial" w:hAnsi="Arial" w:cs="Arial"/>
        </w:rPr>
        <w:t xml:space="preserve"> milhões de reais)</w:t>
      </w:r>
      <w:r w:rsidR="00794289" w:rsidRPr="00672926">
        <w:rPr>
          <w:rFonts w:ascii="Arial" w:hAnsi="Arial" w:cs="Arial"/>
        </w:rPr>
        <w:t xml:space="preserve">. </w:t>
      </w:r>
    </w:p>
    <w:p w:rsidR="00E53409" w:rsidRPr="00672926" w:rsidRDefault="00E5340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94289" w:rsidRPr="00672926" w:rsidRDefault="0079428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72926">
        <w:rPr>
          <w:rFonts w:ascii="Arial" w:hAnsi="Arial" w:cs="Arial"/>
        </w:rPr>
        <w:t xml:space="preserve">4.4.3.2 </w:t>
      </w:r>
      <w:proofErr w:type="gramStart"/>
      <w:r w:rsidRPr="00672926">
        <w:rPr>
          <w:rFonts w:ascii="Arial" w:hAnsi="Arial" w:cs="Arial"/>
        </w:rPr>
        <w:t>atestado(</w:t>
      </w:r>
      <w:proofErr w:type="gramEnd"/>
      <w:r w:rsidRPr="00672926">
        <w:rPr>
          <w:rFonts w:ascii="Arial" w:hAnsi="Arial" w:cs="Arial"/>
        </w:rPr>
        <w:t>s) de capacidade técnico operacional, emitido(s) por pessoa(s) jurídica(s) de direito público ou privado, que comprove(m) que o</w:t>
      </w:r>
      <w:r w:rsidR="00672926">
        <w:rPr>
          <w:rFonts w:ascii="Arial" w:hAnsi="Arial" w:cs="Arial"/>
        </w:rPr>
        <w:t>(s)</w:t>
      </w:r>
      <w:r w:rsidRPr="00672926">
        <w:rPr>
          <w:rFonts w:ascii="Arial" w:hAnsi="Arial" w:cs="Arial"/>
        </w:rPr>
        <w:t xml:space="preserve"> interessado(s) participou</w:t>
      </w:r>
      <w:r w:rsidR="00672926">
        <w:rPr>
          <w:rFonts w:ascii="Arial" w:hAnsi="Arial" w:cs="Arial"/>
        </w:rPr>
        <w:t>(</w:t>
      </w:r>
      <w:proofErr w:type="spellStart"/>
      <w:r w:rsidR="00672926">
        <w:rPr>
          <w:rFonts w:ascii="Arial" w:hAnsi="Arial" w:cs="Arial"/>
        </w:rPr>
        <w:t>ram</w:t>
      </w:r>
      <w:proofErr w:type="spellEnd"/>
      <w:r w:rsidR="00672926">
        <w:rPr>
          <w:rFonts w:ascii="Arial" w:hAnsi="Arial" w:cs="Arial"/>
        </w:rPr>
        <w:t>)</w:t>
      </w:r>
      <w:r w:rsidRPr="00672926">
        <w:rPr>
          <w:rFonts w:ascii="Arial" w:hAnsi="Arial" w:cs="Arial"/>
        </w:rPr>
        <w:t>, na condição de coordenador de oferta de valores mobiliários, no mercado de capitais, no montante mínimo anual, de R$ 200.000.000,00 (</w:t>
      </w:r>
      <w:r w:rsidRPr="00672926">
        <w:rPr>
          <w:rFonts w:ascii="Arial" w:hAnsi="Arial" w:cs="Arial"/>
          <w:strike/>
          <w:color w:val="FF0000"/>
        </w:rPr>
        <w:t>trezentos milhões de reais</w:t>
      </w:r>
      <w:r w:rsidRPr="00672926">
        <w:rPr>
          <w:rFonts w:ascii="Arial" w:hAnsi="Arial" w:cs="Arial"/>
        </w:rPr>
        <w:t>)</w:t>
      </w:r>
      <w:r w:rsidR="00E53409" w:rsidRPr="00672926">
        <w:rPr>
          <w:rFonts w:ascii="Arial" w:hAnsi="Arial" w:cs="Arial"/>
        </w:rPr>
        <w:t xml:space="preserve"> (duzentos milhões de reais) </w:t>
      </w:r>
      <w:r w:rsidRPr="00672926">
        <w:rPr>
          <w:rFonts w:ascii="Arial" w:hAnsi="Arial" w:cs="Arial"/>
        </w:rPr>
        <w:t>.</w:t>
      </w:r>
    </w:p>
    <w:p w:rsidR="005E368B" w:rsidRPr="00672926" w:rsidRDefault="005E368B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E368B" w:rsidRPr="00672926" w:rsidRDefault="005E368B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  <w:r w:rsidRPr="00672926">
        <w:rPr>
          <w:rFonts w:ascii="Arial" w:hAnsi="Arial" w:cs="Arial"/>
          <w:b/>
          <w:color w:val="201F1E"/>
        </w:rPr>
        <w:t>Questionamento 12/07/21.</w:t>
      </w:r>
    </w:p>
    <w:p w:rsidR="005E368B" w:rsidRPr="00672926" w:rsidRDefault="005E368B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</w:p>
    <w:p w:rsidR="001952F4" w:rsidRPr="00672926" w:rsidRDefault="00984D50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672926">
        <w:rPr>
          <w:rFonts w:ascii="Arial" w:hAnsi="Arial" w:cs="Arial"/>
        </w:rPr>
        <w:t>1</w:t>
      </w:r>
      <w:r w:rsidR="00E72983" w:rsidRPr="00672926">
        <w:rPr>
          <w:rFonts w:ascii="Arial" w:hAnsi="Arial" w:cs="Arial"/>
        </w:rPr>
        <w:t>) Uma</w:t>
      </w:r>
      <w:proofErr w:type="gramEnd"/>
      <w:r w:rsidR="00E72983" w:rsidRPr="00672926">
        <w:rPr>
          <w:rFonts w:ascii="Arial" w:hAnsi="Arial" w:cs="Arial"/>
        </w:rPr>
        <w:t xml:space="preserve"> corretora pertencente a um banco pode enviar o índice de Basileia do Banco? </w:t>
      </w:r>
    </w:p>
    <w:p w:rsidR="00E72983" w:rsidRPr="00672926" w:rsidRDefault="00E72983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E368B" w:rsidRPr="00672926" w:rsidRDefault="005E368B" w:rsidP="006729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72926">
        <w:rPr>
          <w:rFonts w:ascii="Arial" w:hAnsi="Arial" w:cs="Arial"/>
        </w:rPr>
        <w:t>Tendo em vista que a normatização do BACEN não é clara quanto quais instituições financeiras devem manter e aplicar o índice de Basileia individualmente e quais podem aplicar pelo conglomerado, a COPASA irá considerar o índice do conglomerado</w:t>
      </w:r>
      <w:r w:rsidR="001952F4" w:rsidRPr="00672926">
        <w:rPr>
          <w:rFonts w:ascii="Arial" w:hAnsi="Arial" w:cs="Arial"/>
        </w:rPr>
        <w:t xml:space="preserve">, </w:t>
      </w:r>
      <w:r w:rsidRPr="00672926">
        <w:rPr>
          <w:rFonts w:ascii="Arial" w:hAnsi="Arial" w:cs="Arial"/>
        </w:rPr>
        <w:t xml:space="preserve">porém caso a consulta feita pela COPASA </w:t>
      </w:r>
      <w:proofErr w:type="gramStart"/>
      <w:r w:rsidRPr="00672926">
        <w:rPr>
          <w:rFonts w:ascii="Arial" w:hAnsi="Arial" w:cs="Arial"/>
        </w:rPr>
        <w:t>MG  ao</w:t>
      </w:r>
      <w:proofErr w:type="gramEnd"/>
      <w:r w:rsidRPr="00672926">
        <w:rPr>
          <w:rFonts w:ascii="Arial" w:hAnsi="Arial" w:cs="Arial"/>
        </w:rPr>
        <w:t xml:space="preserve"> Bacen tenha como resposta que a </w:t>
      </w:r>
      <w:r w:rsidR="001952F4" w:rsidRPr="00672926">
        <w:rPr>
          <w:rFonts w:ascii="Arial" w:hAnsi="Arial" w:cs="Arial"/>
        </w:rPr>
        <w:t xml:space="preserve">instituição/corretora </w:t>
      </w:r>
      <w:r w:rsidRPr="00672926">
        <w:rPr>
          <w:rFonts w:ascii="Arial" w:hAnsi="Arial" w:cs="Arial"/>
        </w:rPr>
        <w:t>deveria ter o cálculo e a publicação de forma individual, essa pré-qualificação se tornará automaticamente inapta. </w:t>
      </w:r>
    </w:p>
    <w:p w:rsidR="005E368B" w:rsidRPr="00672926" w:rsidRDefault="005E368B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  <w:r w:rsidRPr="00672926">
        <w:rPr>
          <w:rFonts w:ascii="Arial" w:hAnsi="Arial" w:cs="Arial"/>
          <w:b/>
          <w:color w:val="201F1E"/>
        </w:rPr>
        <w:t> </w:t>
      </w:r>
    </w:p>
    <w:p w:rsidR="00ED5A3B" w:rsidRDefault="00B46BC1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  <w:r w:rsidRPr="00672926">
        <w:rPr>
          <w:rFonts w:ascii="Arial" w:hAnsi="Arial" w:cs="Arial"/>
          <w:b/>
          <w:color w:val="201F1E"/>
        </w:rPr>
        <w:t>Questionamento</w:t>
      </w:r>
      <w:r w:rsidR="00ED5A3B">
        <w:rPr>
          <w:rFonts w:ascii="Arial" w:hAnsi="Arial" w:cs="Arial"/>
          <w:b/>
          <w:color w:val="201F1E"/>
        </w:rPr>
        <w:t xml:space="preserve"> 1</w:t>
      </w:r>
      <w:r w:rsidRPr="00672926">
        <w:rPr>
          <w:rFonts w:ascii="Arial" w:hAnsi="Arial" w:cs="Arial"/>
          <w:b/>
          <w:color w:val="201F1E"/>
        </w:rPr>
        <w:t>3/07/21.</w:t>
      </w:r>
    </w:p>
    <w:p w:rsidR="00B46BC1" w:rsidRPr="00672926" w:rsidRDefault="00B46BC1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72926"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B46BC1" w:rsidRPr="00672926" w:rsidRDefault="00984D50" w:rsidP="006729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672926">
        <w:rPr>
          <w:rFonts w:ascii="Arial" w:hAnsi="Arial" w:cs="Arial"/>
        </w:rPr>
        <w:t>1</w:t>
      </w:r>
      <w:r w:rsidR="00B46BC1" w:rsidRPr="00672926">
        <w:rPr>
          <w:rFonts w:ascii="Arial" w:hAnsi="Arial" w:cs="Arial"/>
        </w:rPr>
        <w:t>) É</w:t>
      </w:r>
      <w:proofErr w:type="gramEnd"/>
      <w:r w:rsidR="00B46BC1" w:rsidRPr="00672926">
        <w:rPr>
          <w:rFonts w:ascii="Arial" w:hAnsi="Arial" w:cs="Arial"/>
        </w:rPr>
        <w:t xml:space="preserve"> admissível que uma instituição pré-qualificada elabore uma proposta para atendimento ao termo de referência de uma operação de renda fixa da Companhia designando outra instituição coligada ou afim pertencente ao mesmo conglomerado para prestar a garantia firme requerida?</w:t>
      </w:r>
    </w:p>
    <w:p w:rsidR="00B46BC1" w:rsidRPr="00672926" w:rsidRDefault="00B46BC1" w:rsidP="006729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72926">
        <w:rPr>
          <w:rFonts w:ascii="Arial" w:hAnsi="Arial" w:cs="Arial"/>
        </w:rPr>
        <w:lastRenderedPageBreak/>
        <w:br/>
      </w:r>
    </w:p>
    <w:p w:rsidR="00B46BC1" w:rsidRPr="00672926" w:rsidRDefault="00B46BC1" w:rsidP="006729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72926">
        <w:rPr>
          <w:rFonts w:ascii="Arial" w:hAnsi="Arial" w:cs="Arial"/>
        </w:rPr>
        <w:t xml:space="preserve">Sim, desde que aquela instituição designada para cumprimento da responsabilidade de garantia </w:t>
      </w:r>
      <w:r w:rsidR="00672926" w:rsidRPr="00672926">
        <w:rPr>
          <w:rFonts w:ascii="Arial" w:hAnsi="Arial" w:cs="Arial"/>
        </w:rPr>
        <w:t>firme assine</w:t>
      </w:r>
      <w:r w:rsidRPr="00672926">
        <w:rPr>
          <w:rFonts w:ascii="Arial" w:hAnsi="Arial" w:cs="Arial"/>
        </w:rPr>
        <w:t xml:space="preserve"> a proposta, bem como os respectivos contratos advindos como interveniente</w:t>
      </w:r>
      <w:r w:rsidR="00932B4E">
        <w:rPr>
          <w:rFonts w:ascii="Arial" w:hAnsi="Arial" w:cs="Arial"/>
        </w:rPr>
        <w:t>;</w:t>
      </w:r>
      <w:r w:rsidR="00281DBF" w:rsidRPr="00672926">
        <w:rPr>
          <w:rFonts w:ascii="Arial" w:hAnsi="Arial" w:cs="Arial"/>
        </w:rPr>
        <w:t xml:space="preserve"> esteja regularizada junto as instituições de controle do sistema financeiro nacional</w:t>
      </w:r>
      <w:r w:rsidRPr="00672926">
        <w:rPr>
          <w:rFonts w:ascii="Arial" w:hAnsi="Arial" w:cs="Arial"/>
        </w:rPr>
        <w:t xml:space="preserve"> e </w:t>
      </w:r>
      <w:r w:rsidR="00932B4E">
        <w:rPr>
          <w:rFonts w:ascii="Arial" w:hAnsi="Arial" w:cs="Arial"/>
        </w:rPr>
        <w:t>encontre-se</w:t>
      </w:r>
      <w:r w:rsidRPr="00672926">
        <w:rPr>
          <w:rFonts w:ascii="Arial" w:hAnsi="Arial" w:cs="Arial"/>
        </w:rPr>
        <w:t xml:space="preserve"> credenciada perante o sistema eletrônico de cadastro de fornecedores da Companhia.</w:t>
      </w:r>
    </w:p>
    <w:p w:rsidR="00B46BC1" w:rsidRPr="00672926" w:rsidRDefault="00B46BC1" w:rsidP="006729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E368B" w:rsidRPr="00672926" w:rsidRDefault="005E368B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</w:p>
    <w:p w:rsidR="00D4589D" w:rsidRPr="00672926" w:rsidRDefault="00D4589D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  <w:r w:rsidRPr="00672926">
        <w:rPr>
          <w:rFonts w:ascii="Arial" w:hAnsi="Arial" w:cs="Arial"/>
          <w:b/>
          <w:color w:val="201F1E"/>
        </w:rPr>
        <w:t>Questionamento 14/07/21.</w:t>
      </w:r>
    </w:p>
    <w:p w:rsidR="00D4589D" w:rsidRPr="00672926" w:rsidRDefault="00D4589D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</w:p>
    <w:p w:rsidR="00D4589D" w:rsidRPr="00672926" w:rsidRDefault="00984D50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72926">
        <w:rPr>
          <w:rFonts w:ascii="Arial" w:hAnsi="Arial" w:cs="Arial"/>
        </w:rPr>
        <w:t>1</w:t>
      </w:r>
      <w:r w:rsidR="00D4589D" w:rsidRPr="00672926">
        <w:rPr>
          <w:rFonts w:ascii="Arial" w:hAnsi="Arial" w:cs="Arial"/>
        </w:rPr>
        <w:t>)</w:t>
      </w:r>
      <w:r w:rsidR="00672926">
        <w:rPr>
          <w:rFonts w:ascii="Arial" w:hAnsi="Arial" w:cs="Arial"/>
        </w:rPr>
        <w:t xml:space="preserve"> Questionamento quanto à</w:t>
      </w:r>
      <w:r w:rsidR="00D4589D" w:rsidRPr="00672926">
        <w:rPr>
          <w:rFonts w:ascii="Arial" w:hAnsi="Arial" w:cs="Arial"/>
        </w:rPr>
        <w:t xml:space="preserve"> aceitação do índice de Basileia por </w:t>
      </w:r>
      <w:r w:rsidR="00C718AD" w:rsidRPr="00672926">
        <w:rPr>
          <w:rFonts w:ascii="Arial" w:hAnsi="Arial" w:cs="Arial"/>
        </w:rPr>
        <w:t>instituição</w:t>
      </w:r>
      <w:r w:rsidR="00D4589D" w:rsidRPr="00672926">
        <w:rPr>
          <w:rFonts w:ascii="Arial" w:hAnsi="Arial" w:cs="Arial"/>
        </w:rPr>
        <w:t xml:space="preserve"> obrigada a publicar o índice de maneira </w:t>
      </w:r>
      <w:r w:rsidR="00887B97" w:rsidRPr="00672926">
        <w:rPr>
          <w:rFonts w:ascii="Arial" w:hAnsi="Arial" w:cs="Arial"/>
        </w:rPr>
        <w:t>Prudencial (conglomerado</w:t>
      </w:r>
      <w:r w:rsidR="00D4589D" w:rsidRPr="00672926">
        <w:rPr>
          <w:rFonts w:ascii="Arial" w:hAnsi="Arial" w:cs="Arial"/>
        </w:rPr>
        <w:t>)</w:t>
      </w:r>
      <w:r w:rsidR="00672926">
        <w:rPr>
          <w:rFonts w:ascii="Arial" w:hAnsi="Arial" w:cs="Arial"/>
        </w:rPr>
        <w:t>.</w:t>
      </w:r>
      <w:r w:rsidR="00D4589D" w:rsidRPr="00672926">
        <w:rPr>
          <w:rFonts w:ascii="Arial" w:hAnsi="Arial" w:cs="Arial"/>
        </w:rPr>
        <w:t xml:space="preserve"> </w:t>
      </w:r>
    </w:p>
    <w:p w:rsidR="00D4589D" w:rsidRPr="00672926" w:rsidRDefault="00D4589D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4589D" w:rsidRPr="00672926" w:rsidRDefault="00D4589D" w:rsidP="006729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72926">
        <w:rPr>
          <w:rFonts w:ascii="Arial" w:hAnsi="Arial" w:cs="Arial"/>
        </w:rPr>
        <w:t xml:space="preserve">Tendo em vista </w:t>
      </w:r>
      <w:r w:rsidR="00C718AD" w:rsidRPr="00672926">
        <w:rPr>
          <w:rFonts w:ascii="Arial" w:hAnsi="Arial" w:cs="Arial"/>
        </w:rPr>
        <w:t xml:space="preserve">a consulta feita ao BACEN, a COPASA </w:t>
      </w:r>
      <w:r w:rsidR="00F70A4D" w:rsidRPr="00672926">
        <w:rPr>
          <w:rFonts w:ascii="Arial" w:hAnsi="Arial" w:cs="Arial"/>
        </w:rPr>
        <w:t>conforme legislação aplicável aceitará</w:t>
      </w:r>
      <w:r w:rsidR="00C718AD" w:rsidRPr="00672926">
        <w:rPr>
          <w:rFonts w:ascii="Arial" w:hAnsi="Arial" w:cs="Arial"/>
        </w:rPr>
        <w:t xml:space="preserve"> o índice de Basileia</w:t>
      </w:r>
      <w:r w:rsidR="003225F0" w:rsidRPr="00672926">
        <w:rPr>
          <w:rFonts w:ascii="Arial" w:hAnsi="Arial" w:cs="Arial"/>
        </w:rPr>
        <w:t xml:space="preserve"> publicado de maneira Prudencial (conglomerado). </w:t>
      </w:r>
    </w:p>
    <w:p w:rsidR="00E53409" w:rsidRPr="00672926" w:rsidRDefault="00E53409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873D3" w:rsidRPr="00672926" w:rsidRDefault="002873D3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  <w:r w:rsidRPr="00672926">
        <w:rPr>
          <w:rFonts w:ascii="Arial" w:hAnsi="Arial" w:cs="Arial"/>
          <w:b/>
          <w:color w:val="201F1E"/>
        </w:rPr>
        <w:t>Questionamento 05/09/22.</w:t>
      </w:r>
    </w:p>
    <w:p w:rsidR="002873D3" w:rsidRPr="00672926" w:rsidRDefault="002873D3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01F1E"/>
        </w:rPr>
      </w:pPr>
    </w:p>
    <w:p w:rsidR="002873D3" w:rsidRPr="00672926" w:rsidRDefault="00672926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2873D3" w:rsidRPr="00672926">
        <w:rPr>
          <w:rFonts w:ascii="Arial" w:hAnsi="Arial" w:cs="Arial"/>
        </w:rPr>
        <w:t xml:space="preserve">Questionamento </w:t>
      </w:r>
      <w:r>
        <w:rPr>
          <w:rFonts w:ascii="Arial" w:hAnsi="Arial" w:cs="Arial"/>
        </w:rPr>
        <w:t>quanto a</w:t>
      </w:r>
      <w:r w:rsidR="002873D3" w:rsidRPr="00672926">
        <w:rPr>
          <w:rFonts w:ascii="Arial" w:hAnsi="Arial" w:cs="Arial"/>
        </w:rPr>
        <w:t>o prazo de validade do atestado de capacidade técnico operacional</w:t>
      </w:r>
      <w:r>
        <w:rPr>
          <w:rFonts w:ascii="Arial" w:hAnsi="Arial" w:cs="Arial"/>
        </w:rPr>
        <w:t>.</w:t>
      </w:r>
    </w:p>
    <w:p w:rsidR="002873D3" w:rsidRPr="00672926" w:rsidRDefault="002873D3" w:rsidP="0067292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873D3" w:rsidRPr="00672926" w:rsidRDefault="002873D3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672926">
        <w:rPr>
          <w:rFonts w:ascii="Arial" w:hAnsi="Arial" w:cs="Arial"/>
        </w:rPr>
        <w:t>O</w:t>
      </w:r>
      <w:r w:rsidR="00672926">
        <w:rPr>
          <w:rFonts w:ascii="Arial" w:hAnsi="Arial" w:cs="Arial"/>
        </w:rPr>
        <w:t>(</w:t>
      </w:r>
      <w:proofErr w:type="gramEnd"/>
      <w:r w:rsidR="00672926">
        <w:rPr>
          <w:rFonts w:ascii="Arial" w:hAnsi="Arial" w:cs="Arial"/>
        </w:rPr>
        <w:t>s)</w:t>
      </w:r>
      <w:r w:rsidRPr="00672926">
        <w:rPr>
          <w:rFonts w:ascii="Arial" w:hAnsi="Arial" w:cs="Arial"/>
        </w:rPr>
        <w:t xml:space="preserve"> atestado(s) de capacidade técnico operacional referente</w:t>
      </w:r>
      <w:r w:rsidR="00672926">
        <w:rPr>
          <w:rFonts w:ascii="Arial" w:hAnsi="Arial" w:cs="Arial"/>
        </w:rPr>
        <w:t>(</w:t>
      </w:r>
      <w:r w:rsidRPr="00672926">
        <w:rPr>
          <w:rFonts w:ascii="Arial" w:hAnsi="Arial" w:cs="Arial"/>
        </w:rPr>
        <w:t>s</w:t>
      </w:r>
      <w:r w:rsidR="00672926">
        <w:rPr>
          <w:rFonts w:ascii="Arial" w:hAnsi="Arial" w:cs="Arial"/>
        </w:rPr>
        <w:t>)</w:t>
      </w:r>
      <w:r w:rsidRPr="00672926">
        <w:rPr>
          <w:rFonts w:ascii="Arial" w:hAnsi="Arial" w:cs="Arial"/>
        </w:rPr>
        <w:t xml:space="preserve"> a operações realizadas no mercado de capitais terá</w:t>
      </w:r>
      <w:r w:rsidR="00932B4E">
        <w:rPr>
          <w:rFonts w:ascii="Arial" w:hAnsi="Arial" w:cs="Arial"/>
        </w:rPr>
        <w:t>(</w:t>
      </w:r>
      <w:proofErr w:type="spellStart"/>
      <w:r w:rsidR="00932B4E">
        <w:rPr>
          <w:rFonts w:ascii="Arial" w:hAnsi="Arial" w:cs="Arial"/>
        </w:rPr>
        <w:t>ão</w:t>
      </w:r>
      <w:proofErr w:type="spellEnd"/>
      <w:r w:rsidR="00932B4E">
        <w:rPr>
          <w:rFonts w:ascii="Arial" w:hAnsi="Arial" w:cs="Arial"/>
        </w:rPr>
        <w:t>)</w:t>
      </w:r>
      <w:r w:rsidRPr="00672926">
        <w:rPr>
          <w:rFonts w:ascii="Arial" w:hAnsi="Arial" w:cs="Arial"/>
        </w:rPr>
        <w:t xml:space="preserve"> prazo máximo de 36 (trinta e seis meses). Logo</w:t>
      </w:r>
      <w:r w:rsidR="00672926">
        <w:rPr>
          <w:rFonts w:ascii="Arial" w:hAnsi="Arial" w:cs="Arial"/>
        </w:rPr>
        <w:t>,</w:t>
      </w:r>
      <w:r w:rsidRPr="00672926">
        <w:rPr>
          <w:rFonts w:ascii="Arial" w:hAnsi="Arial" w:cs="Arial"/>
        </w:rPr>
        <w:t xml:space="preserve"> esse para ser v</w:t>
      </w:r>
      <w:r w:rsidR="00672926">
        <w:rPr>
          <w:rFonts w:ascii="Arial" w:hAnsi="Arial" w:cs="Arial"/>
        </w:rPr>
        <w:t>á</w:t>
      </w:r>
      <w:r w:rsidRPr="00672926">
        <w:rPr>
          <w:rFonts w:ascii="Arial" w:hAnsi="Arial" w:cs="Arial"/>
        </w:rPr>
        <w:t xml:space="preserve">lido deve ter data de realização da operação contada no prazo máximo de 36 (trinta e seis meses) anteriores à publicação do respectivo Edital ou do pedido de pré-qualificação para os casos em que o pedido tenha ocorrido </w:t>
      </w:r>
      <w:r w:rsidR="00437445">
        <w:rPr>
          <w:rFonts w:ascii="Arial" w:hAnsi="Arial" w:cs="Arial"/>
        </w:rPr>
        <w:t>a partir do ano subsequente à</w:t>
      </w:r>
      <w:r w:rsidRPr="00672926">
        <w:rPr>
          <w:rFonts w:ascii="Arial" w:hAnsi="Arial" w:cs="Arial"/>
        </w:rPr>
        <w:t xml:space="preserve"> publicação do edital. </w:t>
      </w:r>
    </w:p>
    <w:p w:rsidR="002873D3" w:rsidRPr="00672926" w:rsidRDefault="002873D3" w:rsidP="00672926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2873D3" w:rsidRPr="00672926" w:rsidSect="0035686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75" w:rsidRDefault="00097875" w:rsidP="00097875">
      <w:pPr>
        <w:spacing w:after="0" w:line="240" w:lineRule="auto"/>
      </w:pPr>
      <w:r>
        <w:separator/>
      </w:r>
    </w:p>
  </w:endnote>
  <w:endnote w:type="continuationSeparator" w:id="0">
    <w:p w:rsidR="00097875" w:rsidRDefault="00097875" w:rsidP="0009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75" w:rsidRDefault="00097875" w:rsidP="00097875">
    <w:pPr>
      <w:pStyle w:val="Rodap"/>
      <w:jc w:val="right"/>
    </w:pPr>
    <w:r>
      <w:t>Atualização 04.07.2023</w:t>
    </w:r>
  </w:p>
  <w:p w:rsidR="00097875" w:rsidRDefault="000978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75" w:rsidRDefault="00097875" w:rsidP="00097875">
      <w:pPr>
        <w:spacing w:after="0" w:line="240" w:lineRule="auto"/>
      </w:pPr>
      <w:r>
        <w:separator/>
      </w:r>
    </w:p>
  </w:footnote>
  <w:footnote w:type="continuationSeparator" w:id="0">
    <w:p w:rsidR="00097875" w:rsidRDefault="00097875" w:rsidP="0009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968"/>
    <w:multiLevelType w:val="hybridMultilevel"/>
    <w:tmpl w:val="7D00FE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6AEC"/>
    <w:multiLevelType w:val="hybridMultilevel"/>
    <w:tmpl w:val="F580CD2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CE"/>
    <w:rsid w:val="000269F7"/>
    <w:rsid w:val="00097875"/>
    <w:rsid w:val="000D0B22"/>
    <w:rsid w:val="00145063"/>
    <w:rsid w:val="001952F4"/>
    <w:rsid w:val="00234CC2"/>
    <w:rsid w:val="00281DBF"/>
    <w:rsid w:val="002873D3"/>
    <w:rsid w:val="002E6680"/>
    <w:rsid w:val="002F2B3F"/>
    <w:rsid w:val="00302F63"/>
    <w:rsid w:val="003225F0"/>
    <w:rsid w:val="00335647"/>
    <w:rsid w:val="0035686D"/>
    <w:rsid w:val="003622B1"/>
    <w:rsid w:val="003D44CE"/>
    <w:rsid w:val="00437445"/>
    <w:rsid w:val="004A56B1"/>
    <w:rsid w:val="005A7251"/>
    <w:rsid w:val="005E368B"/>
    <w:rsid w:val="00623D07"/>
    <w:rsid w:val="00643264"/>
    <w:rsid w:val="00672926"/>
    <w:rsid w:val="006A540F"/>
    <w:rsid w:val="006B1995"/>
    <w:rsid w:val="006D45DD"/>
    <w:rsid w:val="007066F3"/>
    <w:rsid w:val="00740FA1"/>
    <w:rsid w:val="00762229"/>
    <w:rsid w:val="00793048"/>
    <w:rsid w:val="00794289"/>
    <w:rsid w:val="007C4EB6"/>
    <w:rsid w:val="007E2173"/>
    <w:rsid w:val="00862A21"/>
    <w:rsid w:val="00887B97"/>
    <w:rsid w:val="00892054"/>
    <w:rsid w:val="009137DD"/>
    <w:rsid w:val="00932B4E"/>
    <w:rsid w:val="00975C47"/>
    <w:rsid w:val="00984D50"/>
    <w:rsid w:val="009D4DBE"/>
    <w:rsid w:val="00A02039"/>
    <w:rsid w:val="00A10D68"/>
    <w:rsid w:val="00A33CDC"/>
    <w:rsid w:val="00B46BC1"/>
    <w:rsid w:val="00BF6902"/>
    <w:rsid w:val="00C1653B"/>
    <w:rsid w:val="00C24012"/>
    <w:rsid w:val="00C34DEB"/>
    <w:rsid w:val="00C718AD"/>
    <w:rsid w:val="00CB5E46"/>
    <w:rsid w:val="00CD6EBB"/>
    <w:rsid w:val="00CF55BE"/>
    <w:rsid w:val="00D3479F"/>
    <w:rsid w:val="00D4589D"/>
    <w:rsid w:val="00D65B11"/>
    <w:rsid w:val="00DB7C65"/>
    <w:rsid w:val="00DF1C4B"/>
    <w:rsid w:val="00E53409"/>
    <w:rsid w:val="00E65767"/>
    <w:rsid w:val="00E6720B"/>
    <w:rsid w:val="00E72983"/>
    <w:rsid w:val="00E90494"/>
    <w:rsid w:val="00ED5A3B"/>
    <w:rsid w:val="00EF05BE"/>
    <w:rsid w:val="00F35450"/>
    <w:rsid w:val="00F70A4D"/>
    <w:rsid w:val="00F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0B82"/>
  <w15:docId w15:val="{F0096B50-7A33-4C1C-A58A-7B5B512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8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3D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22B1"/>
    <w:rPr>
      <w:color w:val="0000FF" w:themeColor="hyperlink"/>
      <w:u w:val="single"/>
    </w:rPr>
  </w:style>
  <w:style w:type="paragraph" w:customStyle="1" w:styleId="xxmsonormal">
    <w:name w:val="x_x_msonormal"/>
    <w:basedOn w:val="Normal"/>
    <w:rsid w:val="005E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marks166elx0j">
    <w:name w:val="x_marks166elx0j"/>
    <w:basedOn w:val="Fontepargpadro"/>
    <w:rsid w:val="005E368B"/>
  </w:style>
  <w:style w:type="paragraph" w:customStyle="1" w:styleId="xmsonormal">
    <w:name w:val="x_msonormal"/>
    <w:basedOn w:val="Normal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xxmsonormal">
    <w:name w:val="x_xxxmsonormal"/>
    <w:basedOn w:val="Normal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875"/>
  </w:style>
  <w:style w:type="paragraph" w:styleId="Rodap">
    <w:name w:val="footer"/>
    <w:basedOn w:val="Normal"/>
    <w:link w:val="RodapChar"/>
    <w:uiPriority w:val="99"/>
    <w:unhideWhenUsed/>
    <w:rsid w:val="000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55F2-D80C-41B6-AA80-222B39B4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imagem</dc:creator>
  <cp:lastModifiedBy>Ronivânia Souza</cp:lastModifiedBy>
  <cp:revision>11</cp:revision>
  <dcterms:created xsi:type="dcterms:W3CDTF">2023-07-04T13:00:00Z</dcterms:created>
  <dcterms:modified xsi:type="dcterms:W3CDTF">2023-07-04T13:18:00Z</dcterms:modified>
</cp:coreProperties>
</file>